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93274" w:rsidRDefault="005B7DC7">
      <w:pPr>
        <w:spacing w:after="160" w:line="256" w:lineRule="auto"/>
        <w:rPr>
          <w:rFonts w:ascii="Calibri" w:eastAsia="Calibri" w:hAnsi="Calibri" w:cs="Calibri"/>
          <w:b/>
          <w:sz w:val="28"/>
          <w:szCs w:val="28"/>
        </w:rPr>
      </w:pPr>
      <w:r>
        <w:rPr>
          <w:rFonts w:ascii="Calibri" w:eastAsia="Calibri" w:hAnsi="Calibri" w:cs="Calibri"/>
          <w:b/>
          <w:sz w:val="28"/>
          <w:szCs w:val="28"/>
        </w:rPr>
        <w:t>UN Committee Decries Racial Discrimination in Global COVID-19 Vaccine Access</w:t>
      </w:r>
    </w:p>
    <w:p w14:paraId="00000002" w14:textId="77777777" w:rsidR="00793274" w:rsidRDefault="005B7DC7">
      <w:pPr>
        <w:spacing w:after="160" w:line="256" w:lineRule="auto"/>
        <w:rPr>
          <w:rFonts w:ascii="Calibri" w:eastAsia="Calibri" w:hAnsi="Calibri" w:cs="Calibri"/>
          <w:b/>
          <w:i/>
        </w:rPr>
      </w:pPr>
      <w:r>
        <w:rPr>
          <w:rFonts w:ascii="Calibri" w:eastAsia="Calibri" w:hAnsi="Calibri" w:cs="Calibri"/>
          <w:b/>
          <w:i/>
        </w:rPr>
        <w:t>Germany, Switzerland, UK, and US Called to Account for Not Supporting a Comprehensive Waiver of Intellectual Property and Mandating Pharmaceuticals Transfer Technology</w:t>
      </w:r>
    </w:p>
    <w:p w14:paraId="00000003" w14:textId="77777777" w:rsidR="00793274" w:rsidRDefault="005B7DC7">
      <w:pPr>
        <w:spacing w:after="160" w:line="256" w:lineRule="auto"/>
        <w:rPr>
          <w:rFonts w:ascii="Calibri" w:eastAsia="Calibri" w:hAnsi="Calibri" w:cs="Calibri"/>
          <w:i/>
        </w:rPr>
      </w:pPr>
      <w:r>
        <w:rPr>
          <w:rFonts w:ascii="Calibri" w:eastAsia="Calibri" w:hAnsi="Calibri" w:cs="Calibri"/>
          <w:i/>
        </w:rPr>
        <w:t>29 April 2022</w:t>
      </w:r>
    </w:p>
    <w:p w14:paraId="00000004" w14:textId="77777777" w:rsidR="00793274" w:rsidRDefault="005B7DC7">
      <w:pPr>
        <w:spacing w:after="160" w:line="256" w:lineRule="auto"/>
        <w:rPr>
          <w:rFonts w:ascii="Calibri" w:eastAsia="Calibri" w:hAnsi="Calibri" w:cs="Calibri"/>
          <w:highlight w:val="white"/>
        </w:rPr>
      </w:pPr>
      <w:r>
        <w:rPr>
          <w:rFonts w:ascii="Calibri" w:eastAsia="Calibri" w:hAnsi="Calibri" w:cs="Calibri"/>
          <w:color w:val="1155CC"/>
          <w:u w:val="single"/>
        </w:rPr>
        <w:t>I</w:t>
      </w:r>
      <w:hyperlink r:id="rId5">
        <w:r>
          <w:rPr>
            <w:rFonts w:ascii="Calibri" w:eastAsia="Calibri" w:hAnsi="Calibri" w:cs="Calibri"/>
            <w:color w:val="1155CC"/>
            <w:u w:val="single"/>
          </w:rPr>
          <w:t>n a historic statement</w:t>
        </w:r>
      </w:hyperlink>
      <w:r>
        <w:rPr>
          <w:rFonts w:ascii="Calibri" w:eastAsia="Calibri" w:hAnsi="Calibri" w:cs="Calibri"/>
          <w:i/>
        </w:rPr>
        <w:t xml:space="preserve"> </w:t>
      </w:r>
      <w:r>
        <w:rPr>
          <w:rFonts w:ascii="Calibri" w:eastAsia="Calibri" w:hAnsi="Calibri" w:cs="Calibri"/>
        </w:rPr>
        <w:t xml:space="preserve">released this week, the United Nations Committee on the Elimination of Racial Discrimination (CERD or Committee) starkly warned that “only 15.21% of the population of low-income countries has </w:t>
      </w:r>
      <w:r>
        <w:rPr>
          <w:rFonts w:ascii="Calibri" w:eastAsia="Calibri" w:hAnsi="Calibri" w:cs="Calibri"/>
        </w:rPr>
        <w:t>received even one vaccine dose, creating a pattern of unequal distribution within and between countries that replicates slavery and colonial-era racial hierarchies.” As the</w:t>
      </w:r>
      <w:r>
        <w:rPr>
          <w:rFonts w:ascii="Calibri" w:eastAsia="Calibri" w:hAnsi="Calibri" w:cs="Calibri"/>
          <w:color w:val="333333"/>
          <w:highlight w:val="white"/>
        </w:rPr>
        <w:t xml:space="preserve"> Committee notes, under the </w:t>
      </w:r>
      <w:r>
        <w:rPr>
          <w:rFonts w:ascii="Calibri" w:eastAsia="Calibri" w:hAnsi="Calibri" w:cs="Calibri"/>
          <w:highlight w:val="white"/>
        </w:rPr>
        <w:t>International Convention for the Elimination of All Form</w:t>
      </w:r>
      <w:r>
        <w:rPr>
          <w:rFonts w:ascii="Calibri" w:eastAsia="Calibri" w:hAnsi="Calibri" w:cs="Calibri"/>
          <w:highlight w:val="white"/>
        </w:rPr>
        <w:t xml:space="preserve">s of Racial Discrimination, </w:t>
      </w:r>
      <w:r>
        <w:rPr>
          <w:rFonts w:ascii="Calibri" w:eastAsia="Calibri" w:hAnsi="Calibri" w:cs="Calibri"/>
        </w:rPr>
        <w:t xml:space="preserve">States </w:t>
      </w:r>
      <w:r>
        <w:rPr>
          <w:rFonts w:ascii="Calibri" w:eastAsia="Calibri" w:hAnsi="Calibri" w:cs="Calibri"/>
          <w:highlight w:val="white"/>
        </w:rPr>
        <w:t>are obligated to eliminate all forms of racial inequities, be they by purpose or effect.</w:t>
      </w:r>
    </w:p>
    <w:p w14:paraId="00000005" w14:textId="77777777" w:rsidR="00793274" w:rsidRDefault="005B7DC7">
      <w:pPr>
        <w:pBdr>
          <w:top w:val="nil"/>
          <w:left w:val="nil"/>
          <w:bottom w:val="nil"/>
          <w:right w:val="nil"/>
          <w:between w:val="nil"/>
        </w:pBdr>
        <w:spacing w:after="160" w:line="256" w:lineRule="auto"/>
        <w:rPr>
          <w:rFonts w:ascii="Calibri" w:eastAsia="Calibri" w:hAnsi="Calibri" w:cs="Calibri"/>
          <w:highlight w:val="white"/>
        </w:rPr>
      </w:pPr>
      <w:r>
        <w:rPr>
          <w:rFonts w:ascii="Calibri" w:eastAsia="Calibri" w:hAnsi="Calibri" w:cs="Calibri"/>
        </w:rPr>
        <w:t>The Committee’s statement comes in response to a</w:t>
      </w:r>
      <w:hyperlink r:id="rId6">
        <w:r>
          <w:rPr>
            <w:rFonts w:ascii="Calibri" w:eastAsia="Calibri" w:hAnsi="Calibri" w:cs="Calibri"/>
          </w:rPr>
          <w:t xml:space="preserve"> </w:t>
        </w:r>
      </w:hyperlink>
      <w:hyperlink r:id="rId7">
        <w:r>
          <w:rPr>
            <w:rFonts w:ascii="Calibri" w:eastAsia="Calibri" w:hAnsi="Calibri" w:cs="Calibri"/>
            <w:color w:val="1155CC"/>
            <w:u w:val="single"/>
          </w:rPr>
          <w:t>complaint</w:t>
        </w:r>
      </w:hyperlink>
      <w:r>
        <w:rPr>
          <w:rFonts w:ascii="Calibri" w:eastAsia="Calibri" w:hAnsi="Calibri" w:cs="Calibri"/>
        </w:rPr>
        <w:t xml:space="preserve"> submitted by </w:t>
      </w:r>
      <w:r>
        <w:rPr>
          <w:rFonts w:ascii="Calibri" w:eastAsia="Calibri" w:hAnsi="Calibri" w:cs="Calibri"/>
          <w:highlight w:val="white"/>
        </w:rPr>
        <w:t>an international coalition of human rights law groups, public health experts, and civil society organizations, a</w:t>
      </w:r>
      <w:r>
        <w:rPr>
          <w:rFonts w:ascii="Calibri" w:eastAsia="Calibri" w:hAnsi="Calibri" w:cs="Calibri"/>
          <w:highlight w:val="white"/>
        </w:rPr>
        <w:t xml:space="preserve">rguing that </w:t>
      </w:r>
      <w:r>
        <w:rPr>
          <w:rFonts w:ascii="Calibri" w:eastAsia="Calibri" w:hAnsi="Calibri" w:cs="Calibri"/>
        </w:rPr>
        <w:t>Germany, Switzerland, the United Kingdom (UK), and the United States (US)</w:t>
      </w:r>
      <w:r>
        <w:rPr>
          <w:rFonts w:ascii="Calibri" w:eastAsia="Calibri" w:hAnsi="Calibri" w:cs="Calibri"/>
          <w:highlight w:val="white"/>
        </w:rPr>
        <w:t xml:space="preserve"> are in violation of international human rights law by failing to intervene on what has been an inequitable and racially discriminatory rollout of COVID vaccines and other</w:t>
      </w:r>
      <w:r>
        <w:rPr>
          <w:rFonts w:ascii="Calibri" w:eastAsia="Calibri" w:hAnsi="Calibri" w:cs="Calibri"/>
          <w:highlight w:val="white"/>
        </w:rPr>
        <w:t xml:space="preserve"> healthcare technologies. The complaint urged the Committee to </w:t>
      </w:r>
      <w:proofErr w:type="gramStart"/>
      <w:r>
        <w:rPr>
          <w:rFonts w:ascii="Calibri" w:eastAsia="Calibri" w:hAnsi="Calibri" w:cs="Calibri"/>
          <w:highlight w:val="white"/>
        </w:rPr>
        <w:t>take action</w:t>
      </w:r>
      <w:proofErr w:type="gramEnd"/>
      <w:r>
        <w:rPr>
          <w:rFonts w:ascii="Calibri" w:eastAsia="Calibri" w:hAnsi="Calibri" w:cs="Calibri"/>
          <w:highlight w:val="white"/>
        </w:rPr>
        <w:t xml:space="preserve"> in advance of the upcoming World Trade Organization’s Ministerial Conference, where it is anticipated that States will consider the proposal to waive intellectual property barriers.</w:t>
      </w:r>
    </w:p>
    <w:p w14:paraId="00000006" w14:textId="77777777" w:rsidR="00793274" w:rsidRDefault="005B7DC7">
      <w:pPr>
        <w:spacing w:after="160" w:line="256" w:lineRule="auto"/>
        <w:rPr>
          <w:rFonts w:ascii="Calibri" w:eastAsia="Calibri" w:hAnsi="Calibri" w:cs="Calibri"/>
        </w:rPr>
      </w:pPr>
      <w:r>
        <w:rPr>
          <w:rFonts w:ascii="Calibri" w:eastAsia="Calibri" w:hAnsi="Calibri" w:cs="Calibri"/>
        </w:rPr>
        <w:t>Acting on the petition submitted under their Early Warning and Urgent Action procedure, the Committee stressed “the insufficient supply of vaccines due to unequal global distribution necessitates urgent measures in relation to the intellectual property re</w:t>
      </w:r>
      <w:r>
        <w:rPr>
          <w:rFonts w:ascii="Calibri" w:eastAsia="Calibri" w:hAnsi="Calibri" w:cs="Calibri"/>
        </w:rPr>
        <w:t>gime,” which restricts the supply of COVID-19 healthcare technologies through a web of patents, trade secrets, and other monopoly protections.</w:t>
      </w:r>
    </w:p>
    <w:p w14:paraId="00000007" w14:textId="77777777" w:rsidR="00793274" w:rsidRDefault="005B7DC7">
      <w:pPr>
        <w:spacing w:after="160" w:line="256" w:lineRule="auto"/>
        <w:rPr>
          <w:rFonts w:ascii="Calibri" w:eastAsia="Calibri" w:hAnsi="Calibri" w:cs="Calibri"/>
        </w:rPr>
      </w:pPr>
      <w:r>
        <w:rPr>
          <w:rFonts w:ascii="Calibri" w:eastAsia="Calibri" w:hAnsi="Calibri" w:cs="Calibri"/>
        </w:rPr>
        <w:t xml:space="preserve">The Committee called specifically on Germany, Switzerland, the </w:t>
      </w:r>
      <w:proofErr w:type="gramStart"/>
      <w:r>
        <w:rPr>
          <w:rFonts w:ascii="Calibri" w:eastAsia="Calibri" w:hAnsi="Calibri" w:cs="Calibri"/>
        </w:rPr>
        <w:t>UK</w:t>
      </w:r>
      <w:proofErr w:type="gramEnd"/>
      <w:r>
        <w:rPr>
          <w:rFonts w:ascii="Calibri" w:eastAsia="Calibri" w:hAnsi="Calibri" w:cs="Calibri"/>
        </w:rPr>
        <w:t xml:space="preserve"> and the US to support “the proposal of a comprehensive temporary waiver on the provisions of the [Trade-Related Intellectual Property Rights] (TRIPS) Agreement,” among other measures to miti</w:t>
      </w:r>
      <w:r>
        <w:rPr>
          <w:rFonts w:ascii="Calibri" w:eastAsia="Calibri" w:hAnsi="Calibri" w:cs="Calibri"/>
        </w:rPr>
        <w:t>gate the disparate impact of the pandemic. The Committee also held the named States to account for failing “to mandate COVID-19 healthcare technology transfers from nationally based pharmaceutical companies,” recalling their obligation “to ensure equal acc</w:t>
      </w:r>
      <w:r>
        <w:rPr>
          <w:rFonts w:ascii="Calibri" w:eastAsia="Calibri" w:hAnsi="Calibri" w:cs="Calibri"/>
        </w:rPr>
        <w:t>ess to lifesaving healthcare services, including testing, vaccines and medical treatments.”</w:t>
      </w:r>
    </w:p>
    <w:p w14:paraId="00000008" w14:textId="77777777" w:rsidR="00793274" w:rsidRDefault="005B7DC7">
      <w:pPr>
        <w:numPr>
          <w:ilvl w:val="0"/>
          <w:numId w:val="2"/>
        </w:numPr>
        <w:spacing w:line="256" w:lineRule="auto"/>
        <w:rPr>
          <w:rFonts w:ascii="Calibri" w:eastAsia="Calibri" w:hAnsi="Calibri" w:cs="Calibri"/>
          <w:highlight w:val="white"/>
        </w:rPr>
      </w:pPr>
      <w:r>
        <w:rPr>
          <w:rFonts w:ascii="Calibri" w:eastAsia="Calibri" w:hAnsi="Calibri" w:cs="Calibri"/>
          <w:highlight w:val="white"/>
        </w:rPr>
        <w:t>"Global vaccine equity demands collective action, cooperation and solidarity,</w:t>
      </w:r>
      <w:proofErr w:type="gramStart"/>
      <w:r>
        <w:rPr>
          <w:rFonts w:ascii="Calibri" w:eastAsia="Calibri" w:hAnsi="Calibri" w:cs="Calibri"/>
          <w:highlight w:val="white"/>
        </w:rPr>
        <w:t>"  said</w:t>
      </w:r>
      <w:proofErr w:type="gramEnd"/>
      <w:r>
        <w:rPr>
          <w:rFonts w:ascii="Calibri" w:eastAsia="Calibri" w:hAnsi="Calibri" w:cs="Calibri"/>
          <w:highlight w:val="white"/>
        </w:rPr>
        <w:t xml:space="preserve"> </w:t>
      </w:r>
      <w:proofErr w:type="spellStart"/>
      <w:r>
        <w:rPr>
          <w:rFonts w:ascii="Calibri" w:eastAsia="Calibri" w:hAnsi="Calibri" w:cs="Calibri"/>
          <w:highlight w:val="white"/>
        </w:rPr>
        <w:t>Labila</w:t>
      </w:r>
      <w:proofErr w:type="spellEnd"/>
      <w:r>
        <w:rPr>
          <w:rFonts w:ascii="Calibri" w:eastAsia="Calibri" w:hAnsi="Calibri" w:cs="Calibri"/>
          <w:highlight w:val="white"/>
        </w:rPr>
        <w:t xml:space="preserve"> </w:t>
      </w:r>
      <w:proofErr w:type="spellStart"/>
      <w:r>
        <w:rPr>
          <w:rFonts w:ascii="Calibri" w:eastAsia="Calibri" w:hAnsi="Calibri" w:cs="Calibri"/>
          <w:highlight w:val="white"/>
        </w:rPr>
        <w:t>Sumayah</w:t>
      </w:r>
      <w:proofErr w:type="spellEnd"/>
      <w:r>
        <w:rPr>
          <w:rFonts w:ascii="Calibri" w:eastAsia="Calibri" w:hAnsi="Calibri" w:cs="Calibri"/>
          <w:highlight w:val="white"/>
        </w:rPr>
        <w:t xml:space="preserve"> </w:t>
      </w:r>
      <w:proofErr w:type="spellStart"/>
      <w:r>
        <w:rPr>
          <w:rFonts w:ascii="Calibri" w:eastAsia="Calibri" w:hAnsi="Calibri" w:cs="Calibri"/>
          <w:highlight w:val="white"/>
        </w:rPr>
        <w:t>Musoke</w:t>
      </w:r>
      <w:proofErr w:type="spellEnd"/>
      <w:r>
        <w:rPr>
          <w:rFonts w:ascii="Calibri" w:eastAsia="Calibri" w:hAnsi="Calibri" w:cs="Calibri"/>
          <w:highlight w:val="white"/>
        </w:rPr>
        <w:t xml:space="preserve"> of the Initiative for Social and Economic Rights (ISER) b</w:t>
      </w:r>
      <w:r>
        <w:rPr>
          <w:rFonts w:ascii="Calibri" w:eastAsia="Calibri" w:hAnsi="Calibri" w:cs="Calibri"/>
          <w:highlight w:val="white"/>
        </w:rPr>
        <w:t>ased in Uganda.</w:t>
      </w:r>
    </w:p>
    <w:p w14:paraId="00000009" w14:textId="77777777" w:rsidR="00793274" w:rsidRDefault="005B7DC7">
      <w:pPr>
        <w:numPr>
          <w:ilvl w:val="0"/>
          <w:numId w:val="2"/>
        </w:numPr>
        <w:spacing w:line="256" w:lineRule="auto"/>
        <w:rPr>
          <w:rFonts w:ascii="Calibri" w:eastAsia="Calibri" w:hAnsi="Calibri" w:cs="Calibri"/>
          <w:highlight w:val="white"/>
        </w:rPr>
      </w:pPr>
      <w:r>
        <w:rPr>
          <w:rFonts w:ascii="Calibri" w:eastAsia="Calibri" w:hAnsi="Calibri" w:cs="Calibri"/>
          <w:highlight w:val="white"/>
        </w:rPr>
        <w:t xml:space="preserve">“The </w:t>
      </w:r>
      <w:proofErr w:type="gramStart"/>
      <w:r>
        <w:rPr>
          <w:rFonts w:ascii="Calibri" w:eastAsia="Calibri" w:hAnsi="Calibri" w:cs="Calibri"/>
          <w:highlight w:val="white"/>
        </w:rPr>
        <w:t>ongoing  vaccine</w:t>
      </w:r>
      <w:proofErr w:type="gramEnd"/>
      <w:r>
        <w:rPr>
          <w:rFonts w:ascii="Calibri" w:eastAsia="Calibri" w:hAnsi="Calibri" w:cs="Calibri"/>
          <w:highlight w:val="white"/>
        </w:rPr>
        <w:t xml:space="preserve"> imperialism just highlights the continued impact of structural  racism , legacies of colonialism  and racialized capitalism on Black, Indigenous, and people of color in their diversity and other vulnerable  and </w:t>
      </w:r>
      <w:proofErr w:type="spellStart"/>
      <w:r>
        <w:rPr>
          <w:rFonts w:ascii="Calibri" w:eastAsia="Calibri" w:hAnsi="Calibri" w:cs="Calibri"/>
          <w:highlight w:val="white"/>
        </w:rPr>
        <w:t>margina</w:t>
      </w:r>
      <w:r>
        <w:rPr>
          <w:rFonts w:ascii="Calibri" w:eastAsia="Calibri" w:hAnsi="Calibri" w:cs="Calibri"/>
          <w:highlight w:val="white"/>
        </w:rPr>
        <w:t>lised</w:t>
      </w:r>
      <w:proofErr w:type="spellEnd"/>
      <w:r>
        <w:rPr>
          <w:rFonts w:ascii="Calibri" w:eastAsia="Calibri" w:hAnsi="Calibri" w:cs="Calibri"/>
          <w:highlight w:val="white"/>
        </w:rPr>
        <w:t xml:space="preserve">  groups. Therefore we cannot talk of a new normal </w:t>
      </w:r>
      <w:proofErr w:type="gramStart"/>
      <w:r>
        <w:rPr>
          <w:rFonts w:ascii="Calibri" w:eastAsia="Calibri" w:hAnsi="Calibri" w:cs="Calibri"/>
          <w:highlight w:val="white"/>
        </w:rPr>
        <w:t>without  dismantling</w:t>
      </w:r>
      <w:proofErr w:type="gramEnd"/>
      <w:r>
        <w:rPr>
          <w:rFonts w:ascii="Calibri" w:eastAsia="Calibri" w:hAnsi="Calibri" w:cs="Calibri"/>
          <w:highlight w:val="white"/>
        </w:rPr>
        <w:t xml:space="preserve"> these persistent systems of oppression and this is essential  not only to end the pandemic but also ensure sustainable health equity.” - Statement of the Global South Vaccine Equi</w:t>
      </w:r>
      <w:r>
        <w:rPr>
          <w:rFonts w:ascii="Calibri" w:eastAsia="Calibri" w:hAnsi="Calibri" w:cs="Calibri"/>
          <w:highlight w:val="white"/>
        </w:rPr>
        <w:t>ty Coalition coordinated by Campaign against Racism of Equal Health</w:t>
      </w:r>
    </w:p>
    <w:p w14:paraId="0000000A" w14:textId="77777777" w:rsidR="00793274" w:rsidRDefault="005B7DC7">
      <w:pPr>
        <w:numPr>
          <w:ilvl w:val="0"/>
          <w:numId w:val="2"/>
        </w:numPr>
        <w:spacing w:line="256" w:lineRule="auto"/>
        <w:rPr>
          <w:rFonts w:ascii="Calibri" w:eastAsia="Calibri" w:hAnsi="Calibri" w:cs="Calibri"/>
          <w:highlight w:val="white"/>
        </w:rPr>
      </w:pPr>
      <w:r>
        <w:rPr>
          <w:rFonts w:ascii="Calibri" w:eastAsia="Calibri" w:hAnsi="Calibri" w:cs="Calibri"/>
          <w:highlight w:val="white"/>
        </w:rPr>
        <w:t>“Vaccine inequity is neither an unfortunate accident nor something inevitable. It is rooted in the failure of States globally to address the historical legacies of slavery, colonialism and</w:t>
      </w:r>
      <w:r>
        <w:rPr>
          <w:rFonts w:ascii="Calibri" w:eastAsia="Calibri" w:hAnsi="Calibri" w:cs="Calibri"/>
          <w:highlight w:val="white"/>
        </w:rPr>
        <w:t xml:space="preserve"> apartheid which persist despite their formal abolition. The statement is a strong call for States to put the right to health and life of millions over private </w:t>
      </w:r>
      <w:proofErr w:type="gramStart"/>
      <w:r>
        <w:rPr>
          <w:rFonts w:ascii="Calibri" w:eastAsia="Calibri" w:hAnsi="Calibri" w:cs="Calibri"/>
          <w:highlight w:val="white"/>
        </w:rPr>
        <w:t>profit, and</w:t>
      </w:r>
      <w:proofErr w:type="gramEnd"/>
      <w:r>
        <w:rPr>
          <w:rFonts w:ascii="Calibri" w:eastAsia="Calibri" w:hAnsi="Calibri" w:cs="Calibri"/>
          <w:highlight w:val="white"/>
        </w:rPr>
        <w:t xml:space="preserve"> underscores the importance of global solidarity in fighting this pandemic, especiall</w:t>
      </w:r>
      <w:r>
        <w:rPr>
          <w:rFonts w:ascii="Calibri" w:eastAsia="Calibri" w:hAnsi="Calibri" w:cs="Calibri"/>
          <w:highlight w:val="white"/>
        </w:rPr>
        <w:t xml:space="preserve">y the enormous debt owed by countries in the </w:t>
      </w:r>
      <w:r>
        <w:rPr>
          <w:rFonts w:ascii="Calibri" w:eastAsia="Calibri" w:hAnsi="Calibri" w:cs="Calibri"/>
          <w:highlight w:val="white"/>
        </w:rPr>
        <w:lastRenderedPageBreak/>
        <w:t>Global North to those in the Global South,”</w:t>
      </w:r>
      <w:r>
        <w:rPr>
          <w:rFonts w:ascii="Calibri" w:eastAsia="Calibri" w:hAnsi="Calibri" w:cs="Calibri"/>
          <w:color w:val="1D1C1D"/>
          <w:sz w:val="23"/>
          <w:szCs w:val="23"/>
          <w:highlight w:val="white"/>
        </w:rPr>
        <w:t xml:space="preserve"> said Ohene </w:t>
      </w:r>
      <w:proofErr w:type="spellStart"/>
      <w:r>
        <w:rPr>
          <w:rFonts w:ascii="Calibri" w:eastAsia="Calibri" w:hAnsi="Calibri" w:cs="Calibri"/>
          <w:color w:val="1D1C1D"/>
          <w:sz w:val="23"/>
          <w:szCs w:val="23"/>
          <w:highlight w:val="white"/>
        </w:rPr>
        <w:t>Ampofo</w:t>
      </w:r>
      <w:proofErr w:type="spellEnd"/>
      <w:r>
        <w:rPr>
          <w:rFonts w:ascii="Calibri" w:eastAsia="Calibri" w:hAnsi="Calibri" w:cs="Calibri"/>
          <w:color w:val="1D1C1D"/>
          <w:sz w:val="23"/>
          <w:szCs w:val="23"/>
          <w:highlight w:val="white"/>
        </w:rPr>
        <w:t>-Anti, Program Associate at Center for Economic and Social Rights (CESR).</w:t>
      </w:r>
    </w:p>
    <w:p w14:paraId="0000000B" w14:textId="77777777" w:rsidR="00793274" w:rsidRDefault="005B7DC7">
      <w:pPr>
        <w:numPr>
          <w:ilvl w:val="0"/>
          <w:numId w:val="2"/>
        </w:numPr>
        <w:spacing w:line="256" w:lineRule="auto"/>
        <w:rPr>
          <w:rFonts w:ascii="Calibri" w:eastAsia="Calibri" w:hAnsi="Calibri" w:cs="Calibri"/>
          <w:color w:val="1D1C1D"/>
          <w:sz w:val="23"/>
          <w:szCs w:val="23"/>
          <w:highlight w:val="white"/>
        </w:rPr>
      </w:pPr>
      <w:r>
        <w:rPr>
          <w:rFonts w:ascii="Calibri" w:eastAsia="Calibri" w:hAnsi="Calibri" w:cs="Calibri"/>
          <w:color w:val="1D1C1D"/>
          <w:sz w:val="23"/>
          <w:szCs w:val="23"/>
          <w:highlight w:val="white"/>
        </w:rPr>
        <w:t>“At a time when calls for ending structural discrimination have finally take</w:t>
      </w:r>
      <w:r>
        <w:rPr>
          <w:rFonts w:ascii="Calibri" w:eastAsia="Calibri" w:hAnsi="Calibri" w:cs="Calibri"/>
          <w:color w:val="1D1C1D"/>
          <w:sz w:val="23"/>
          <w:szCs w:val="23"/>
          <w:highlight w:val="white"/>
        </w:rPr>
        <w:t xml:space="preserve">n root, the behavior of the States implicated in this, in failing to take adequate measures - with their own problematic histories, shows the shallowness of their commitment to these </w:t>
      </w:r>
      <w:proofErr w:type="gramStart"/>
      <w:r>
        <w:rPr>
          <w:rFonts w:ascii="Calibri" w:eastAsia="Calibri" w:hAnsi="Calibri" w:cs="Calibri"/>
          <w:color w:val="1D1C1D"/>
          <w:sz w:val="23"/>
          <w:szCs w:val="23"/>
          <w:highlight w:val="white"/>
        </w:rPr>
        <w:t>values,“</w:t>
      </w:r>
      <w:proofErr w:type="gramEnd"/>
      <w:r>
        <w:rPr>
          <w:rFonts w:ascii="Calibri" w:eastAsia="Calibri" w:hAnsi="Calibri" w:cs="Calibri"/>
          <w:color w:val="1D1C1D"/>
          <w:sz w:val="23"/>
          <w:szCs w:val="23"/>
          <w:highlight w:val="white"/>
        </w:rPr>
        <w:t xml:space="preserve"> said Joshua </w:t>
      </w:r>
      <w:proofErr w:type="spellStart"/>
      <w:r>
        <w:rPr>
          <w:rFonts w:ascii="Calibri" w:eastAsia="Calibri" w:hAnsi="Calibri" w:cs="Calibri"/>
          <w:color w:val="1D1C1D"/>
          <w:sz w:val="23"/>
          <w:szCs w:val="23"/>
          <w:highlight w:val="white"/>
        </w:rPr>
        <w:t>Castellino</w:t>
      </w:r>
      <w:proofErr w:type="spellEnd"/>
      <w:r>
        <w:rPr>
          <w:rFonts w:ascii="Calibri" w:eastAsia="Calibri" w:hAnsi="Calibri" w:cs="Calibri"/>
          <w:color w:val="1D1C1D"/>
          <w:sz w:val="23"/>
          <w:szCs w:val="23"/>
          <w:highlight w:val="white"/>
        </w:rPr>
        <w:t>, Executive Director, Minority Rights Grou</w:t>
      </w:r>
      <w:r>
        <w:rPr>
          <w:rFonts w:ascii="Calibri" w:eastAsia="Calibri" w:hAnsi="Calibri" w:cs="Calibri"/>
          <w:color w:val="1D1C1D"/>
          <w:sz w:val="23"/>
          <w:szCs w:val="23"/>
          <w:highlight w:val="white"/>
        </w:rPr>
        <w:t>p (MRG).</w:t>
      </w:r>
    </w:p>
    <w:p w14:paraId="0000000C" w14:textId="77777777" w:rsidR="00793274" w:rsidRDefault="005B7DC7">
      <w:pPr>
        <w:numPr>
          <w:ilvl w:val="0"/>
          <w:numId w:val="2"/>
        </w:numPr>
        <w:spacing w:line="256" w:lineRule="auto"/>
        <w:rPr>
          <w:rFonts w:ascii="Calibri" w:eastAsia="Calibri" w:hAnsi="Calibri" w:cs="Calibri"/>
          <w:color w:val="1D1C1D"/>
          <w:sz w:val="23"/>
          <w:szCs w:val="23"/>
          <w:highlight w:val="white"/>
        </w:rPr>
      </w:pPr>
      <w:r>
        <w:rPr>
          <w:rFonts w:ascii="Calibri" w:eastAsia="Calibri" w:hAnsi="Calibri" w:cs="Calibri"/>
          <w:color w:val="1D1C1D"/>
          <w:sz w:val="23"/>
          <w:szCs w:val="23"/>
          <w:highlight w:val="white"/>
        </w:rPr>
        <w:t xml:space="preserve">“The critical work to </w:t>
      </w:r>
      <w:proofErr w:type="spellStart"/>
      <w:r>
        <w:rPr>
          <w:rFonts w:ascii="Calibri" w:eastAsia="Calibri" w:hAnsi="Calibri" w:cs="Calibri"/>
          <w:color w:val="1D1C1D"/>
          <w:sz w:val="23"/>
          <w:szCs w:val="23"/>
          <w:highlight w:val="white"/>
        </w:rPr>
        <w:t>decolonise</w:t>
      </w:r>
      <w:proofErr w:type="spellEnd"/>
      <w:r>
        <w:rPr>
          <w:rFonts w:ascii="Calibri" w:eastAsia="Calibri" w:hAnsi="Calibri" w:cs="Calibri"/>
          <w:color w:val="1D1C1D"/>
          <w:sz w:val="23"/>
          <w:szCs w:val="23"/>
          <w:highlight w:val="white"/>
        </w:rPr>
        <w:t xml:space="preserve"> global health needs to move forward now more than ever. Countries in the Global South currently navigating a fifth wave of death, </w:t>
      </w:r>
      <w:proofErr w:type="gramStart"/>
      <w:r>
        <w:rPr>
          <w:rFonts w:ascii="Calibri" w:eastAsia="Calibri" w:hAnsi="Calibri" w:cs="Calibri"/>
          <w:color w:val="1D1C1D"/>
          <w:sz w:val="23"/>
          <w:szCs w:val="23"/>
          <w:highlight w:val="white"/>
        </w:rPr>
        <w:t>illness</w:t>
      </w:r>
      <w:proofErr w:type="gramEnd"/>
      <w:r>
        <w:rPr>
          <w:rFonts w:ascii="Calibri" w:eastAsia="Calibri" w:hAnsi="Calibri" w:cs="Calibri"/>
          <w:color w:val="1D1C1D"/>
          <w:sz w:val="23"/>
          <w:szCs w:val="23"/>
          <w:highlight w:val="white"/>
        </w:rPr>
        <w:t xml:space="preserve"> and destruction of livelihoods as a result of a profit-fueled pandemic is al</w:t>
      </w:r>
      <w:r>
        <w:rPr>
          <w:rFonts w:ascii="Calibri" w:eastAsia="Calibri" w:hAnsi="Calibri" w:cs="Calibri"/>
          <w:color w:val="1D1C1D"/>
          <w:sz w:val="23"/>
          <w:szCs w:val="23"/>
          <w:highlight w:val="white"/>
        </w:rPr>
        <w:t>l the testament we need. If there was any doubt about whose lives matter to countries that claim to be ‘developed’, the injustice that is staring us in the face is a clear answer to that question,” said Tian Johnson, African Alliance.</w:t>
      </w:r>
    </w:p>
    <w:p w14:paraId="0000000D" w14:textId="77777777" w:rsidR="00793274" w:rsidRDefault="005B7DC7">
      <w:pPr>
        <w:numPr>
          <w:ilvl w:val="0"/>
          <w:numId w:val="2"/>
        </w:numPr>
        <w:spacing w:line="256" w:lineRule="auto"/>
        <w:rPr>
          <w:rFonts w:ascii="Calibri" w:eastAsia="Calibri" w:hAnsi="Calibri" w:cs="Calibri"/>
          <w:color w:val="1D1C1D"/>
          <w:sz w:val="23"/>
          <w:szCs w:val="23"/>
          <w:highlight w:val="white"/>
        </w:rPr>
      </w:pPr>
      <w:r>
        <w:rPr>
          <w:rFonts w:ascii="Calibri" w:eastAsia="Calibri" w:hAnsi="Calibri" w:cs="Calibri"/>
          <w:color w:val="1D1C1D"/>
          <w:sz w:val="23"/>
          <w:szCs w:val="23"/>
          <w:highlight w:val="white"/>
        </w:rPr>
        <w:t>“This decision is cru</w:t>
      </w:r>
      <w:r>
        <w:rPr>
          <w:rFonts w:ascii="Calibri" w:eastAsia="Calibri" w:hAnsi="Calibri" w:cs="Calibri"/>
          <w:color w:val="1D1C1D"/>
          <w:sz w:val="23"/>
          <w:szCs w:val="23"/>
          <w:highlight w:val="white"/>
        </w:rPr>
        <w:t>cial to Latin America, a region that is mostly black and indigenous. Because of their transnational nature, Northern countries and transnational companies are rarely made accountable for the regimes they create to protect their own profit, with enormous im</w:t>
      </w:r>
      <w:r>
        <w:rPr>
          <w:rFonts w:ascii="Calibri" w:eastAsia="Calibri" w:hAnsi="Calibri" w:cs="Calibri"/>
          <w:color w:val="1D1C1D"/>
          <w:sz w:val="23"/>
          <w:szCs w:val="23"/>
          <w:highlight w:val="white"/>
        </w:rPr>
        <w:t>pacts over the rights of marginalized populations in the Global South. While Latin America must debate the need to enhance its own production of pharmaceuticals, at the global level it is important to ask ourselves if applying intellectual property restric</w:t>
      </w:r>
      <w:r>
        <w:rPr>
          <w:rFonts w:ascii="Calibri" w:eastAsia="Calibri" w:hAnsi="Calibri" w:cs="Calibri"/>
          <w:color w:val="1D1C1D"/>
          <w:sz w:val="23"/>
          <w:szCs w:val="23"/>
          <w:highlight w:val="white"/>
        </w:rPr>
        <w:t xml:space="preserve">tions to healthcare technology is even compatible with recognizing the right  to life of every human being,” </w:t>
      </w:r>
      <w:proofErr w:type="spellStart"/>
      <w:r>
        <w:rPr>
          <w:rFonts w:ascii="Calibri" w:eastAsia="Calibri" w:hAnsi="Calibri" w:cs="Calibri"/>
          <w:color w:val="1D1C1D"/>
          <w:sz w:val="23"/>
          <w:szCs w:val="23"/>
          <w:highlight w:val="white"/>
        </w:rPr>
        <w:t>said</w:t>
      </w:r>
      <w:hyperlink r:id="rId8">
        <w:r>
          <w:rPr>
            <w:color w:val="0000EE"/>
            <w:u w:val="single"/>
          </w:rPr>
          <w:t>Camila</w:t>
        </w:r>
        <w:proofErr w:type="spellEnd"/>
        <w:r>
          <w:rPr>
            <w:color w:val="0000EE"/>
            <w:u w:val="single"/>
          </w:rPr>
          <w:t xml:space="preserve"> </w:t>
        </w:r>
        <w:proofErr w:type="spellStart"/>
        <w:r>
          <w:rPr>
            <w:color w:val="0000EE"/>
            <w:u w:val="single"/>
          </w:rPr>
          <w:t>Barretto</w:t>
        </w:r>
        <w:proofErr w:type="spellEnd"/>
        <w:r>
          <w:rPr>
            <w:color w:val="0000EE"/>
            <w:u w:val="single"/>
          </w:rPr>
          <w:t xml:space="preserve"> Maia</w:t>
        </w:r>
      </w:hyperlink>
      <w:r>
        <w:rPr>
          <w:rFonts w:ascii="Calibri" w:eastAsia="Calibri" w:hAnsi="Calibri" w:cs="Calibri"/>
          <w:color w:val="1D1C1D"/>
          <w:sz w:val="23"/>
          <w:szCs w:val="23"/>
          <w:highlight w:val="white"/>
        </w:rPr>
        <w:t xml:space="preserve">, Coordinator of the International Area at Centro de </w:t>
      </w:r>
      <w:proofErr w:type="spellStart"/>
      <w:r>
        <w:rPr>
          <w:rFonts w:ascii="Calibri" w:eastAsia="Calibri" w:hAnsi="Calibri" w:cs="Calibri"/>
          <w:color w:val="1D1C1D"/>
          <w:sz w:val="23"/>
          <w:szCs w:val="23"/>
          <w:highlight w:val="white"/>
        </w:rPr>
        <w:t>Estudios</w:t>
      </w:r>
      <w:proofErr w:type="spellEnd"/>
      <w:r>
        <w:rPr>
          <w:rFonts w:ascii="Calibri" w:eastAsia="Calibri" w:hAnsi="Calibri" w:cs="Calibri"/>
          <w:color w:val="1D1C1D"/>
          <w:sz w:val="23"/>
          <w:szCs w:val="23"/>
          <w:highlight w:val="white"/>
        </w:rPr>
        <w:t xml:space="preserve"> </w:t>
      </w:r>
      <w:proofErr w:type="spellStart"/>
      <w:r>
        <w:rPr>
          <w:rFonts w:ascii="Calibri" w:eastAsia="Calibri" w:hAnsi="Calibri" w:cs="Calibri"/>
          <w:color w:val="1D1C1D"/>
          <w:sz w:val="23"/>
          <w:szCs w:val="23"/>
          <w:highlight w:val="white"/>
        </w:rPr>
        <w:t>Legales</w:t>
      </w:r>
      <w:proofErr w:type="spellEnd"/>
      <w:r>
        <w:rPr>
          <w:rFonts w:ascii="Calibri" w:eastAsia="Calibri" w:hAnsi="Calibri" w:cs="Calibri"/>
          <w:color w:val="1D1C1D"/>
          <w:sz w:val="23"/>
          <w:szCs w:val="23"/>
          <w:highlight w:val="white"/>
        </w:rPr>
        <w:t xml:space="preserve"> y </w:t>
      </w:r>
      <w:proofErr w:type="spellStart"/>
      <w:r>
        <w:rPr>
          <w:rFonts w:ascii="Calibri" w:eastAsia="Calibri" w:hAnsi="Calibri" w:cs="Calibri"/>
          <w:color w:val="1D1C1D"/>
          <w:sz w:val="23"/>
          <w:szCs w:val="23"/>
          <w:highlight w:val="white"/>
        </w:rPr>
        <w:t>S</w:t>
      </w:r>
      <w:r>
        <w:rPr>
          <w:rFonts w:ascii="Calibri" w:eastAsia="Calibri" w:hAnsi="Calibri" w:cs="Calibri"/>
          <w:color w:val="1D1C1D"/>
          <w:sz w:val="23"/>
          <w:szCs w:val="23"/>
          <w:highlight w:val="white"/>
        </w:rPr>
        <w:t>ociales</w:t>
      </w:r>
      <w:proofErr w:type="spellEnd"/>
      <w:r>
        <w:rPr>
          <w:rFonts w:ascii="Calibri" w:eastAsia="Calibri" w:hAnsi="Calibri" w:cs="Calibri"/>
          <w:color w:val="1D1C1D"/>
          <w:sz w:val="23"/>
          <w:szCs w:val="23"/>
          <w:highlight w:val="white"/>
        </w:rPr>
        <w:t xml:space="preserve"> (CELS)</w:t>
      </w:r>
    </w:p>
    <w:p w14:paraId="0000000E" w14:textId="77777777" w:rsidR="00793274" w:rsidRDefault="005B7DC7">
      <w:pPr>
        <w:numPr>
          <w:ilvl w:val="0"/>
          <w:numId w:val="2"/>
        </w:numPr>
        <w:spacing w:after="160" w:line="256" w:lineRule="auto"/>
        <w:rPr>
          <w:rFonts w:ascii="Calibri" w:eastAsia="Calibri" w:hAnsi="Calibri" w:cs="Calibri"/>
          <w:color w:val="1D1C1D"/>
          <w:sz w:val="23"/>
          <w:szCs w:val="23"/>
          <w:highlight w:val="white"/>
        </w:rPr>
      </w:pPr>
      <w:r>
        <w:rPr>
          <w:rFonts w:ascii="Calibri" w:eastAsia="Calibri" w:hAnsi="Calibri" w:cs="Calibri"/>
          <w:color w:val="1D1C1D"/>
          <w:sz w:val="23"/>
          <w:szCs w:val="23"/>
          <w:highlight w:val="white"/>
        </w:rPr>
        <w:t>“Within our context it is especially Black African women who work in the most precarious of working environments who face intersecting forms of discrimination and who carry the burden of the lack of access to adequate medical treatment and h</w:t>
      </w:r>
      <w:r>
        <w:rPr>
          <w:rFonts w:ascii="Calibri" w:eastAsia="Calibri" w:hAnsi="Calibri" w:cs="Calibri"/>
          <w:color w:val="1D1C1D"/>
          <w:sz w:val="23"/>
          <w:szCs w:val="23"/>
          <w:highlight w:val="white"/>
        </w:rPr>
        <w:t xml:space="preserve">ealth care who are being overlooked and dismissed in </w:t>
      </w:r>
      <w:proofErr w:type="spellStart"/>
      <w:r>
        <w:rPr>
          <w:rFonts w:ascii="Calibri" w:eastAsia="Calibri" w:hAnsi="Calibri" w:cs="Calibri"/>
          <w:color w:val="1D1C1D"/>
          <w:sz w:val="23"/>
          <w:szCs w:val="23"/>
          <w:highlight w:val="white"/>
        </w:rPr>
        <w:t>favour</w:t>
      </w:r>
      <w:proofErr w:type="spellEnd"/>
      <w:r>
        <w:rPr>
          <w:rFonts w:ascii="Calibri" w:eastAsia="Calibri" w:hAnsi="Calibri" w:cs="Calibri"/>
          <w:color w:val="1D1C1D"/>
          <w:sz w:val="23"/>
          <w:szCs w:val="23"/>
          <w:highlight w:val="white"/>
        </w:rPr>
        <w:t xml:space="preserve"> of corporate and commercial interests. The statement finally </w:t>
      </w:r>
      <w:proofErr w:type="spellStart"/>
      <w:r>
        <w:rPr>
          <w:rFonts w:ascii="Calibri" w:eastAsia="Calibri" w:hAnsi="Calibri" w:cs="Calibri"/>
          <w:color w:val="1D1C1D"/>
          <w:sz w:val="23"/>
          <w:szCs w:val="23"/>
          <w:highlight w:val="white"/>
        </w:rPr>
        <w:t>recognises</w:t>
      </w:r>
      <w:proofErr w:type="spellEnd"/>
      <w:r>
        <w:rPr>
          <w:rFonts w:ascii="Calibri" w:eastAsia="Calibri" w:hAnsi="Calibri" w:cs="Calibri"/>
          <w:color w:val="1D1C1D"/>
          <w:sz w:val="23"/>
          <w:szCs w:val="23"/>
          <w:highlight w:val="white"/>
        </w:rPr>
        <w:t xml:space="preserve"> that their voices have been calling out and that women will no longer be silenced.” - Statement of the Women’s Legal Centre </w:t>
      </w:r>
      <w:r>
        <w:rPr>
          <w:rFonts w:ascii="Calibri" w:eastAsia="Calibri" w:hAnsi="Calibri" w:cs="Calibri"/>
          <w:color w:val="1D1C1D"/>
          <w:sz w:val="23"/>
          <w:szCs w:val="23"/>
          <w:highlight w:val="white"/>
        </w:rPr>
        <w:t>- South Africa</w:t>
      </w:r>
    </w:p>
    <w:p w14:paraId="0000000F" w14:textId="77777777" w:rsidR="00793274" w:rsidRDefault="005B7DC7">
      <w:pPr>
        <w:spacing w:after="160" w:line="256" w:lineRule="auto"/>
        <w:rPr>
          <w:rFonts w:ascii="Calibri" w:eastAsia="Calibri" w:hAnsi="Calibri" w:cs="Calibri"/>
        </w:rPr>
      </w:pPr>
      <w:r>
        <w:rPr>
          <w:rFonts w:ascii="Calibri" w:eastAsia="Calibri" w:hAnsi="Calibri" w:cs="Calibri"/>
        </w:rPr>
        <w:t>The CERD statement is significant for its recognition of the historical root causes of present COVID-19 vaccine and healthcare inequity both within and among States and how opposition to the TRIPS waiver sustains structural racial subordinat</w:t>
      </w:r>
      <w:r>
        <w:rPr>
          <w:rFonts w:ascii="Calibri" w:eastAsia="Calibri" w:hAnsi="Calibri" w:cs="Calibri"/>
        </w:rPr>
        <w:t>ion. As the Committee noted, the “disproportionate impact of the pandemic on those groups protected by the Convention in terms of higher levels of morbidity and mortality is in significant part attributed to consequences of the historic racial injustices o</w:t>
      </w:r>
      <w:r>
        <w:rPr>
          <w:rFonts w:ascii="Calibri" w:eastAsia="Calibri" w:hAnsi="Calibri" w:cs="Calibri"/>
        </w:rPr>
        <w:t>f slavery and colonialism that remain largely unaccounted for today and the contemporary racially discriminatory effects of structures of inequality and subordination resulting from failures to redress the effects of racism rooted in slavery, colonialism a</w:t>
      </w:r>
      <w:r>
        <w:rPr>
          <w:rFonts w:ascii="Calibri" w:eastAsia="Calibri" w:hAnsi="Calibri" w:cs="Calibri"/>
        </w:rPr>
        <w:t xml:space="preserve">nd apartheid.” </w:t>
      </w:r>
    </w:p>
    <w:p w14:paraId="00000010" w14:textId="77777777" w:rsidR="00793274" w:rsidRDefault="005B7DC7">
      <w:pPr>
        <w:spacing w:after="160" w:line="256" w:lineRule="auto"/>
        <w:rPr>
          <w:rFonts w:ascii="Calibri" w:eastAsia="Calibri" w:hAnsi="Calibri" w:cs="Calibri"/>
        </w:rPr>
      </w:pPr>
      <w:r>
        <w:rPr>
          <w:rFonts w:ascii="Calibri" w:eastAsia="Calibri" w:hAnsi="Calibri" w:cs="Calibri"/>
        </w:rPr>
        <w:t>Moreover, the statement stands out for acknowledging structural racism as a global system which States have a duty to eradicate. In this regard, the Committee expressed deep concern that “the pattern of unequal distribution of lifesaving va</w:t>
      </w:r>
      <w:r>
        <w:rPr>
          <w:rFonts w:ascii="Calibri" w:eastAsia="Calibri" w:hAnsi="Calibri" w:cs="Calibri"/>
        </w:rPr>
        <w:t xml:space="preserve">ccines and COVID-19 technologies between and within countries manifests as a global system privileging those former colonial powers to the detriment of formerly </w:t>
      </w:r>
      <w:proofErr w:type="spellStart"/>
      <w:r>
        <w:rPr>
          <w:rFonts w:ascii="Calibri" w:eastAsia="Calibri" w:hAnsi="Calibri" w:cs="Calibri"/>
        </w:rPr>
        <w:t>colonised</w:t>
      </w:r>
      <w:proofErr w:type="spellEnd"/>
      <w:r>
        <w:rPr>
          <w:rFonts w:ascii="Calibri" w:eastAsia="Calibri" w:hAnsi="Calibri" w:cs="Calibri"/>
        </w:rPr>
        <w:t xml:space="preserve"> States and descendants of enslaved groups.” The statement can be read as an acknowled</w:t>
      </w:r>
      <w:r>
        <w:rPr>
          <w:rFonts w:ascii="Calibri" w:eastAsia="Calibri" w:hAnsi="Calibri" w:cs="Calibri"/>
        </w:rPr>
        <w:t xml:space="preserve">gement of the extra-territorial obligations which States owe to ensure the realization of economic and social rights for all, even those beyond their borders. This underscores the importance of </w:t>
      </w:r>
      <w:r>
        <w:rPr>
          <w:rFonts w:ascii="Calibri" w:eastAsia="Calibri" w:hAnsi="Calibri" w:cs="Calibri"/>
        </w:rPr>
        <w:lastRenderedPageBreak/>
        <w:t>global solidarity in addressing the ongoing effects of the pan</w:t>
      </w:r>
      <w:r>
        <w:rPr>
          <w:rFonts w:ascii="Calibri" w:eastAsia="Calibri" w:hAnsi="Calibri" w:cs="Calibri"/>
        </w:rPr>
        <w:t>demic, especially on the most marginalized groups.</w:t>
      </w:r>
    </w:p>
    <w:p w14:paraId="00000011" w14:textId="77777777" w:rsidR="00793274" w:rsidRDefault="005B7DC7">
      <w:pPr>
        <w:spacing w:after="160" w:line="256" w:lineRule="auto"/>
        <w:rPr>
          <w:rFonts w:ascii="Calibri" w:eastAsia="Calibri" w:hAnsi="Calibri" w:cs="Calibri"/>
        </w:rPr>
      </w:pPr>
      <w:r>
        <w:rPr>
          <w:rFonts w:ascii="Calibri" w:eastAsia="Calibri" w:hAnsi="Calibri" w:cs="Calibri"/>
        </w:rPr>
        <w:t>The petitioning groups include the</w:t>
      </w:r>
      <w:hyperlink r:id="rId9">
        <w:r>
          <w:rPr>
            <w:rFonts w:ascii="Calibri" w:eastAsia="Calibri" w:hAnsi="Calibri" w:cs="Calibri"/>
          </w:rPr>
          <w:t xml:space="preserve"> </w:t>
        </w:r>
      </w:hyperlink>
      <w:hyperlink r:id="rId10">
        <w:r>
          <w:rPr>
            <w:rFonts w:ascii="Calibri" w:eastAsia="Calibri" w:hAnsi="Calibri" w:cs="Calibri"/>
            <w:color w:val="0563C1"/>
            <w:u w:val="single"/>
          </w:rPr>
          <w:t>African Alliance</w:t>
        </w:r>
      </w:hyperlink>
      <w:r>
        <w:rPr>
          <w:rFonts w:ascii="Calibri" w:eastAsia="Calibri" w:hAnsi="Calibri" w:cs="Calibri"/>
        </w:rPr>
        <w:t>,</w:t>
      </w:r>
      <w:hyperlink r:id="rId11">
        <w:r>
          <w:rPr>
            <w:rFonts w:ascii="Calibri" w:eastAsia="Calibri" w:hAnsi="Calibri" w:cs="Calibri"/>
          </w:rPr>
          <w:t xml:space="preserve"> </w:t>
        </w:r>
      </w:hyperlink>
      <w:hyperlink r:id="rId12">
        <w:r>
          <w:rPr>
            <w:rFonts w:ascii="Calibri" w:eastAsia="Calibri" w:hAnsi="Calibri" w:cs="Calibri"/>
            <w:color w:val="0563C1"/>
            <w:u w:val="single"/>
          </w:rPr>
          <w:t>Center for Economic and Social Rights (CESR)</w:t>
        </w:r>
      </w:hyperlink>
      <w:r>
        <w:rPr>
          <w:rFonts w:ascii="Calibri" w:eastAsia="Calibri" w:hAnsi="Calibri" w:cs="Calibri"/>
        </w:rPr>
        <w:t>,</w:t>
      </w:r>
      <w:hyperlink r:id="rId13">
        <w:r>
          <w:rPr>
            <w:rFonts w:ascii="Calibri" w:eastAsia="Calibri" w:hAnsi="Calibri" w:cs="Calibri"/>
          </w:rPr>
          <w:t xml:space="preserve"> </w:t>
        </w:r>
      </w:hyperlink>
      <w:hyperlink r:id="rId14">
        <w:r>
          <w:rPr>
            <w:rFonts w:ascii="Calibri" w:eastAsia="Calibri" w:hAnsi="Calibri" w:cs="Calibri"/>
            <w:color w:val="0563C1"/>
            <w:u w:val="single"/>
          </w:rPr>
          <w:t xml:space="preserve">Centro de </w:t>
        </w:r>
        <w:proofErr w:type="spellStart"/>
        <w:r>
          <w:rPr>
            <w:rFonts w:ascii="Calibri" w:eastAsia="Calibri" w:hAnsi="Calibri" w:cs="Calibri"/>
            <w:color w:val="0563C1"/>
            <w:u w:val="single"/>
          </w:rPr>
          <w:t>Estudios</w:t>
        </w:r>
        <w:proofErr w:type="spellEnd"/>
        <w:r>
          <w:rPr>
            <w:rFonts w:ascii="Calibri" w:eastAsia="Calibri" w:hAnsi="Calibri" w:cs="Calibri"/>
            <w:color w:val="0563C1"/>
            <w:u w:val="single"/>
          </w:rPr>
          <w:t xml:space="preserve"> </w:t>
        </w:r>
        <w:proofErr w:type="spellStart"/>
        <w:r>
          <w:rPr>
            <w:rFonts w:ascii="Calibri" w:eastAsia="Calibri" w:hAnsi="Calibri" w:cs="Calibri"/>
            <w:color w:val="0563C1"/>
            <w:u w:val="single"/>
          </w:rPr>
          <w:t>Legales</w:t>
        </w:r>
        <w:proofErr w:type="spellEnd"/>
        <w:r>
          <w:rPr>
            <w:rFonts w:ascii="Calibri" w:eastAsia="Calibri" w:hAnsi="Calibri" w:cs="Calibri"/>
            <w:color w:val="0563C1"/>
            <w:u w:val="single"/>
          </w:rPr>
          <w:t xml:space="preserve"> y </w:t>
        </w:r>
        <w:proofErr w:type="spellStart"/>
        <w:r>
          <w:rPr>
            <w:rFonts w:ascii="Calibri" w:eastAsia="Calibri" w:hAnsi="Calibri" w:cs="Calibri"/>
            <w:color w:val="0563C1"/>
            <w:u w:val="single"/>
          </w:rPr>
          <w:t>Sociales</w:t>
        </w:r>
        <w:proofErr w:type="spellEnd"/>
        <w:r>
          <w:rPr>
            <w:rFonts w:ascii="Calibri" w:eastAsia="Calibri" w:hAnsi="Calibri" w:cs="Calibri"/>
            <w:color w:val="0563C1"/>
            <w:u w:val="single"/>
          </w:rPr>
          <w:t xml:space="preserve"> (CELS)</w:t>
        </w:r>
      </w:hyperlink>
      <w:r>
        <w:rPr>
          <w:rFonts w:ascii="Calibri" w:eastAsia="Calibri" w:hAnsi="Calibri" w:cs="Calibri"/>
        </w:rPr>
        <w:t xml:space="preserve">, Global South Vaccine Equity Coalition coordinated by </w:t>
      </w:r>
      <w:hyperlink r:id="rId15">
        <w:r>
          <w:rPr>
            <w:rFonts w:ascii="Calibri" w:eastAsia="Calibri" w:hAnsi="Calibri" w:cs="Calibri"/>
            <w:color w:val="1155CC"/>
            <w:u w:val="single"/>
          </w:rPr>
          <w:t>Campaign against Racism of Equal Health</w:t>
        </w:r>
      </w:hyperlink>
      <w:r>
        <w:rPr>
          <w:rFonts w:ascii="Calibri" w:eastAsia="Calibri" w:hAnsi="Calibri" w:cs="Calibri"/>
        </w:rPr>
        <w:t>,</w:t>
      </w:r>
      <w:hyperlink r:id="rId16">
        <w:r>
          <w:rPr>
            <w:rFonts w:ascii="Calibri" w:eastAsia="Calibri" w:hAnsi="Calibri" w:cs="Calibri"/>
          </w:rPr>
          <w:t xml:space="preserve"> </w:t>
        </w:r>
      </w:hyperlink>
      <w:hyperlink r:id="rId17">
        <w:r>
          <w:rPr>
            <w:rFonts w:ascii="Calibri" w:eastAsia="Calibri" w:hAnsi="Calibri" w:cs="Calibri"/>
            <w:color w:val="0563C1"/>
            <w:u w:val="single"/>
          </w:rPr>
          <w:t>Initiative for Economic and Social Rights (ISER)</w:t>
        </w:r>
      </w:hyperlink>
      <w:r>
        <w:rPr>
          <w:rFonts w:ascii="Calibri" w:eastAsia="Calibri" w:hAnsi="Calibri" w:cs="Calibri"/>
        </w:rPr>
        <w:t>,</w:t>
      </w:r>
      <w:hyperlink r:id="rId18">
        <w:r>
          <w:rPr>
            <w:rFonts w:ascii="Calibri" w:eastAsia="Calibri" w:hAnsi="Calibri" w:cs="Calibri"/>
          </w:rPr>
          <w:t xml:space="preserve"> </w:t>
        </w:r>
      </w:hyperlink>
      <w:hyperlink r:id="rId19">
        <w:r>
          <w:rPr>
            <w:rFonts w:ascii="Calibri" w:eastAsia="Calibri" w:hAnsi="Calibri" w:cs="Calibri"/>
            <w:color w:val="0563C1"/>
            <w:u w:val="single"/>
          </w:rPr>
          <w:t>Minority Rights Group (MRG)</w:t>
        </w:r>
      </w:hyperlink>
      <w:r>
        <w:rPr>
          <w:rFonts w:ascii="Calibri" w:eastAsia="Calibri" w:hAnsi="Calibri" w:cs="Calibri"/>
        </w:rPr>
        <w:t>,</w:t>
      </w:r>
      <w:hyperlink r:id="rId20">
        <w:r>
          <w:rPr>
            <w:rFonts w:ascii="Calibri" w:eastAsia="Calibri" w:hAnsi="Calibri" w:cs="Calibri"/>
          </w:rPr>
          <w:t xml:space="preserve"> </w:t>
        </w:r>
      </w:hyperlink>
      <w:hyperlink r:id="rId21">
        <w:r>
          <w:rPr>
            <w:rFonts w:ascii="Calibri" w:eastAsia="Calibri" w:hAnsi="Calibri" w:cs="Calibri"/>
            <w:color w:val="0563C1"/>
            <w:u w:val="single"/>
          </w:rPr>
          <w:t>Oxfam International</w:t>
        </w:r>
      </w:hyperlink>
      <w:r>
        <w:rPr>
          <w:rFonts w:ascii="Calibri" w:eastAsia="Calibri" w:hAnsi="Calibri" w:cs="Calibri"/>
        </w:rPr>
        <w:t>,</w:t>
      </w:r>
      <w:hyperlink r:id="rId22">
        <w:r>
          <w:rPr>
            <w:rFonts w:ascii="Calibri" w:eastAsia="Calibri" w:hAnsi="Calibri" w:cs="Calibri"/>
          </w:rPr>
          <w:t xml:space="preserve"> </w:t>
        </w:r>
      </w:hyperlink>
      <w:hyperlink r:id="rId23">
        <w:r>
          <w:rPr>
            <w:rFonts w:ascii="Calibri" w:eastAsia="Calibri" w:hAnsi="Calibri" w:cs="Calibri"/>
            <w:color w:val="0563C1"/>
            <w:u w:val="single"/>
          </w:rPr>
          <w:t>Treatment Action Campaign (TAC)</w:t>
        </w:r>
      </w:hyperlink>
      <w:r>
        <w:rPr>
          <w:rFonts w:ascii="Calibri" w:eastAsia="Calibri" w:hAnsi="Calibri" w:cs="Calibri"/>
        </w:rPr>
        <w:t>, and</w:t>
      </w:r>
      <w:hyperlink r:id="rId24">
        <w:r>
          <w:rPr>
            <w:rFonts w:ascii="Calibri" w:eastAsia="Calibri" w:hAnsi="Calibri" w:cs="Calibri"/>
          </w:rPr>
          <w:t xml:space="preserve"> </w:t>
        </w:r>
      </w:hyperlink>
      <w:hyperlink r:id="rId25">
        <w:r>
          <w:rPr>
            <w:rFonts w:ascii="Calibri" w:eastAsia="Calibri" w:hAnsi="Calibri" w:cs="Calibri"/>
            <w:color w:val="0563C1"/>
            <w:u w:val="single"/>
          </w:rPr>
          <w:t>Women’s Legal Centre (WLC)</w:t>
        </w:r>
      </w:hyperlink>
      <w:r>
        <w:rPr>
          <w:rFonts w:ascii="Calibri" w:eastAsia="Calibri" w:hAnsi="Calibri" w:cs="Calibri"/>
        </w:rPr>
        <w:t>. The petition was prepared with the support and coordination of the</w:t>
      </w:r>
      <w:hyperlink r:id="rId26">
        <w:r>
          <w:rPr>
            <w:rFonts w:ascii="Calibri" w:eastAsia="Calibri" w:hAnsi="Calibri" w:cs="Calibri"/>
          </w:rPr>
          <w:t xml:space="preserve"> </w:t>
        </w:r>
      </w:hyperlink>
      <w:hyperlink r:id="rId27">
        <w:r>
          <w:rPr>
            <w:rFonts w:ascii="Calibri" w:eastAsia="Calibri" w:hAnsi="Calibri" w:cs="Calibri"/>
            <w:color w:val="0563C1"/>
            <w:u w:val="single"/>
          </w:rPr>
          <w:t>Global Network of Movement Lawyers</w:t>
        </w:r>
      </w:hyperlink>
      <w:r>
        <w:rPr>
          <w:rFonts w:ascii="Calibri" w:eastAsia="Calibri" w:hAnsi="Calibri" w:cs="Calibri"/>
        </w:rPr>
        <w:t>, housed at</w:t>
      </w:r>
      <w:hyperlink r:id="rId28">
        <w:r>
          <w:rPr>
            <w:rFonts w:ascii="Calibri" w:eastAsia="Calibri" w:hAnsi="Calibri" w:cs="Calibri"/>
          </w:rPr>
          <w:t xml:space="preserve"> </w:t>
        </w:r>
      </w:hyperlink>
      <w:hyperlink r:id="rId29">
        <w:r>
          <w:rPr>
            <w:rFonts w:ascii="Calibri" w:eastAsia="Calibri" w:hAnsi="Calibri" w:cs="Calibri"/>
            <w:color w:val="0563C1"/>
            <w:u w:val="single"/>
          </w:rPr>
          <w:t>Movement Law Lab</w:t>
        </w:r>
      </w:hyperlink>
      <w:r>
        <w:rPr>
          <w:rFonts w:ascii="Calibri" w:eastAsia="Calibri" w:hAnsi="Calibri" w:cs="Calibri"/>
        </w:rPr>
        <w:t>,</w:t>
      </w:r>
      <w:hyperlink r:id="rId30">
        <w:r>
          <w:rPr>
            <w:rFonts w:ascii="Calibri" w:eastAsia="Calibri" w:hAnsi="Calibri" w:cs="Calibri"/>
          </w:rPr>
          <w:t xml:space="preserve"> </w:t>
        </w:r>
      </w:hyperlink>
      <w:hyperlink r:id="rId31">
        <w:r>
          <w:rPr>
            <w:rFonts w:ascii="Calibri" w:eastAsia="Calibri" w:hAnsi="Calibri" w:cs="Calibri"/>
            <w:color w:val="0563C1"/>
            <w:u w:val="single"/>
          </w:rPr>
          <w:t>Section 27</w:t>
        </w:r>
      </w:hyperlink>
      <w:r>
        <w:rPr>
          <w:rFonts w:ascii="Calibri" w:eastAsia="Calibri" w:hAnsi="Calibri" w:cs="Calibri"/>
        </w:rPr>
        <w:t xml:space="preserve"> and the secretariat</w:t>
      </w:r>
      <w:r>
        <w:rPr>
          <w:rFonts w:ascii="Calibri" w:eastAsia="Calibri" w:hAnsi="Calibri" w:cs="Calibri"/>
        </w:rPr>
        <w:t xml:space="preserve"> of</w:t>
      </w:r>
      <w:hyperlink r:id="rId32">
        <w:r>
          <w:rPr>
            <w:rFonts w:ascii="Calibri" w:eastAsia="Calibri" w:hAnsi="Calibri" w:cs="Calibri"/>
          </w:rPr>
          <w:t xml:space="preserve"> </w:t>
        </w:r>
      </w:hyperlink>
      <w:hyperlink r:id="rId33">
        <w:r>
          <w:rPr>
            <w:rFonts w:ascii="Calibri" w:eastAsia="Calibri" w:hAnsi="Calibri" w:cs="Calibri"/>
            <w:color w:val="0563C1"/>
            <w:u w:val="single"/>
          </w:rPr>
          <w:t>ESCR-Net - International Network for Economic, Social and Cultural Rights</w:t>
        </w:r>
      </w:hyperlink>
      <w:r>
        <w:rPr>
          <w:rFonts w:ascii="Calibri" w:eastAsia="Calibri" w:hAnsi="Calibri" w:cs="Calibri"/>
        </w:rPr>
        <w:t xml:space="preserve">. </w:t>
      </w:r>
    </w:p>
    <w:p w14:paraId="00000012" w14:textId="77777777" w:rsidR="00793274" w:rsidRDefault="005B7DC7">
      <w:pPr>
        <w:spacing w:after="160" w:line="256" w:lineRule="auto"/>
        <w:rPr>
          <w:rFonts w:ascii="Calibri" w:eastAsia="Calibri" w:hAnsi="Calibri" w:cs="Calibri"/>
          <w:b/>
        </w:rPr>
      </w:pPr>
      <w:r>
        <w:rPr>
          <w:rFonts w:ascii="Calibri" w:eastAsia="Calibri" w:hAnsi="Calibri" w:cs="Calibri"/>
          <w:b/>
        </w:rPr>
        <w:t>Note to editors:</w:t>
      </w:r>
    </w:p>
    <w:p w14:paraId="00000013" w14:textId="77777777" w:rsidR="00793274" w:rsidRDefault="005B7DC7">
      <w:pPr>
        <w:numPr>
          <w:ilvl w:val="0"/>
          <w:numId w:val="1"/>
        </w:numPr>
        <w:spacing w:line="256" w:lineRule="auto"/>
        <w:rPr>
          <w:rFonts w:ascii="Calibri" w:eastAsia="Calibri" w:hAnsi="Calibri" w:cs="Calibri"/>
          <w:highlight w:val="white"/>
        </w:rPr>
      </w:pPr>
      <w:r>
        <w:rPr>
          <w:rFonts w:ascii="Calibri" w:eastAsia="Calibri" w:hAnsi="Calibri" w:cs="Calibri"/>
          <w:highlight w:val="white"/>
        </w:rPr>
        <w:t xml:space="preserve">The UN Committee on the Elimination of All Forms of Racial Discrimination’s statement can be found </w:t>
      </w:r>
      <w:hyperlink r:id="rId34">
        <w:r>
          <w:rPr>
            <w:rFonts w:ascii="Calibri" w:eastAsia="Calibri" w:hAnsi="Calibri" w:cs="Calibri"/>
            <w:color w:val="0563C1"/>
            <w:highlight w:val="white"/>
            <w:u w:val="single"/>
          </w:rPr>
          <w:t>here</w:t>
        </w:r>
      </w:hyperlink>
      <w:r>
        <w:rPr>
          <w:rFonts w:ascii="Calibri" w:eastAsia="Calibri" w:hAnsi="Calibri" w:cs="Calibri"/>
          <w:highlight w:val="white"/>
        </w:rPr>
        <w:t>.</w:t>
      </w:r>
    </w:p>
    <w:p w14:paraId="00000014" w14:textId="77777777" w:rsidR="00793274" w:rsidRDefault="005B7DC7">
      <w:pPr>
        <w:numPr>
          <w:ilvl w:val="0"/>
          <w:numId w:val="1"/>
        </w:numPr>
        <w:spacing w:line="256" w:lineRule="auto"/>
        <w:rPr>
          <w:rFonts w:ascii="Calibri" w:eastAsia="Calibri" w:hAnsi="Calibri" w:cs="Calibri"/>
          <w:highlight w:val="white"/>
        </w:rPr>
      </w:pPr>
      <w:r>
        <w:rPr>
          <w:rFonts w:ascii="Calibri" w:eastAsia="Calibri" w:hAnsi="Calibri" w:cs="Calibri"/>
          <w:highlight w:val="white"/>
        </w:rPr>
        <w:t>The petition (both the original Oct 2</w:t>
      </w:r>
      <w:r>
        <w:rPr>
          <w:rFonts w:ascii="Calibri" w:eastAsia="Calibri" w:hAnsi="Calibri" w:cs="Calibri"/>
          <w:highlight w:val="white"/>
        </w:rPr>
        <w:t xml:space="preserve">021 submission and its March 2022 update) to the UN Committee on the Elimination of All Forms of Racial Discrimination can be found </w:t>
      </w:r>
      <w:hyperlink r:id="rId35">
        <w:r>
          <w:rPr>
            <w:rFonts w:ascii="Calibri" w:eastAsia="Calibri" w:hAnsi="Calibri" w:cs="Calibri"/>
            <w:color w:val="1155CC"/>
            <w:highlight w:val="white"/>
            <w:u w:val="single"/>
          </w:rPr>
          <w:t>here</w:t>
        </w:r>
      </w:hyperlink>
      <w:r>
        <w:rPr>
          <w:rFonts w:ascii="Calibri" w:eastAsia="Calibri" w:hAnsi="Calibri" w:cs="Calibri"/>
          <w:highlight w:val="white"/>
        </w:rPr>
        <w:t xml:space="preserve">. </w:t>
      </w:r>
    </w:p>
    <w:p w14:paraId="00000015" w14:textId="77777777" w:rsidR="00793274" w:rsidRDefault="005B7DC7">
      <w:pPr>
        <w:numPr>
          <w:ilvl w:val="0"/>
          <w:numId w:val="1"/>
        </w:numPr>
        <w:spacing w:line="256" w:lineRule="auto"/>
        <w:rPr>
          <w:rFonts w:ascii="Calibri" w:eastAsia="Calibri" w:hAnsi="Calibri" w:cs="Calibri"/>
          <w:highlight w:val="white"/>
        </w:rPr>
      </w:pPr>
      <w:r>
        <w:rPr>
          <w:rFonts w:ascii="Calibri" w:eastAsia="Calibri" w:hAnsi="Calibri" w:cs="Calibri"/>
          <w:highlight w:val="white"/>
        </w:rPr>
        <w:t>The Committee on the Elimination of Racial Discrimination is the body of independent experts that monitors the implementation of the Convention on the Elimination of All Forms of Racial Discrimination by its States parties.</w:t>
      </w:r>
    </w:p>
    <w:p w14:paraId="00000016" w14:textId="77777777" w:rsidR="00793274" w:rsidRDefault="005B7DC7">
      <w:pPr>
        <w:numPr>
          <w:ilvl w:val="0"/>
          <w:numId w:val="1"/>
        </w:numPr>
        <w:spacing w:line="256" w:lineRule="auto"/>
        <w:rPr>
          <w:rFonts w:ascii="Roboto" w:eastAsia="Roboto" w:hAnsi="Roboto" w:cs="Roboto"/>
          <w:b/>
          <w:highlight w:val="white"/>
        </w:rPr>
      </w:pPr>
      <w:r>
        <w:rPr>
          <w:rFonts w:ascii="Calibri" w:eastAsia="Calibri" w:hAnsi="Calibri" w:cs="Calibri"/>
          <w:highlight w:val="white"/>
        </w:rPr>
        <w:t>Nearly all countries in the worl</w:t>
      </w:r>
      <w:r>
        <w:rPr>
          <w:rFonts w:ascii="Calibri" w:eastAsia="Calibri" w:hAnsi="Calibri" w:cs="Calibri"/>
          <w:highlight w:val="white"/>
        </w:rPr>
        <w:t xml:space="preserve">d, including </w:t>
      </w:r>
      <w:r>
        <w:rPr>
          <w:rFonts w:ascii="Calibri" w:eastAsia="Calibri" w:hAnsi="Calibri" w:cs="Calibri"/>
        </w:rPr>
        <w:t xml:space="preserve">Germany, Switzerland, </w:t>
      </w:r>
      <w:proofErr w:type="gramStart"/>
      <w:r>
        <w:rPr>
          <w:rFonts w:ascii="Calibri" w:eastAsia="Calibri" w:hAnsi="Calibri" w:cs="Calibri"/>
        </w:rPr>
        <w:t>UK</w:t>
      </w:r>
      <w:proofErr w:type="gramEnd"/>
      <w:r>
        <w:rPr>
          <w:rFonts w:ascii="Calibri" w:eastAsia="Calibri" w:hAnsi="Calibri" w:cs="Calibri"/>
        </w:rPr>
        <w:t xml:space="preserve"> and the US, have ratified the </w:t>
      </w:r>
      <w:r>
        <w:rPr>
          <w:rFonts w:ascii="Calibri" w:eastAsia="Calibri" w:hAnsi="Calibri" w:cs="Calibri"/>
          <w:highlight w:val="white"/>
        </w:rPr>
        <w:t>International Convention for the Elimination of All Forms of Racial Discrimination.</w:t>
      </w:r>
    </w:p>
    <w:p w14:paraId="00000017" w14:textId="77777777" w:rsidR="00793274" w:rsidRDefault="005B7DC7">
      <w:pPr>
        <w:numPr>
          <w:ilvl w:val="0"/>
          <w:numId w:val="1"/>
        </w:numPr>
        <w:spacing w:after="160" w:line="256" w:lineRule="auto"/>
        <w:rPr>
          <w:rFonts w:ascii="Calibri" w:eastAsia="Calibri" w:hAnsi="Calibri" w:cs="Calibri"/>
          <w:highlight w:val="white"/>
        </w:rPr>
      </w:pPr>
      <w:r>
        <w:rPr>
          <w:rFonts w:ascii="Calibri" w:eastAsia="Calibri" w:hAnsi="Calibri" w:cs="Calibri"/>
          <w:highlight w:val="white"/>
        </w:rPr>
        <w:t xml:space="preserve">See also </w:t>
      </w:r>
      <w:hyperlink r:id="rId36">
        <w:r>
          <w:rPr>
            <w:rFonts w:ascii="Calibri" w:eastAsia="Calibri" w:hAnsi="Calibri" w:cs="Calibri"/>
            <w:color w:val="1155CC"/>
            <w:highlight w:val="white"/>
            <w:u w:val="single"/>
          </w:rPr>
          <w:t>Vaccine Inequity Deepens Structural Racial Discrimination</w:t>
        </w:r>
      </w:hyperlink>
      <w:r>
        <w:rPr>
          <w:rFonts w:ascii="Calibri" w:eastAsia="Calibri" w:hAnsi="Calibri" w:cs="Calibri"/>
          <w:highlight w:val="white"/>
        </w:rPr>
        <w:t>, Open Global Rights, 11 April 2022.</w:t>
      </w:r>
    </w:p>
    <w:p w14:paraId="00000018" w14:textId="77777777" w:rsidR="00793274" w:rsidRDefault="00793274">
      <w:pPr>
        <w:spacing w:after="160" w:line="256" w:lineRule="auto"/>
        <w:ind w:left="720"/>
        <w:rPr>
          <w:b/>
          <w:color w:val="333333"/>
          <w:sz w:val="21"/>
          <w:szCs w:val="21"/>
          <w:highlight w:val="white"/>
        </w:rPr>
      </w:pPr>
    </w:p>
    <w:p w14:paraId="00000019" w14:textId="77777777" w:rsidR="00793274" w:rsidRDefault="005B7DC7">
      <w:pPr>
        <w:spacing w:after="160" w:line="256" w:lineRule="auto"/>
        <w:rPr>
          <w:rFonts w:ascii="Calibri" w:eastAsia="Calibri" w:hAnsi="Calibri" w:cs="Calibri"/>
          <w:b/>
          <w:sz w:val="24"/>
          <w:szCs w:val="24"/>
          <w:u w:val="single"/>
        </w:rPr>
      </w:pPr>
      <w:r>
        <w:rPr>
          <w:rFonts w:ascii="Calibri" w:eastAsia="Calibri" w:hAnsi="Calibri" w:cs="Calibri"/>
          <w:b/>
          <w:sz w:val="24"/>
          <w:szCs w:val="24"/>
          <w:u w:val="single"/>
        </w:rPr>
        <w:t>Press contacts:</w:t>
      </w:r>
    </w:p>
    <w:p w14:paraId="0000001F" w14:textId="77777777" w:rsidR="00793274" w:rsidRDefault="005B7DC7">
      <w:pPr>
        <w:numPr>
          <w:ilvl w:val="0"/>
          <w:numId w:val="3"/>
        </w:numPr>
        <w:pBdr>
          <w:top w:val="nil"/>
          <w:left w:val="nil"/>
          <w:bottom w:val="nil"/>
          <w:right w:val="nil"/>
          <w:between w:val="nil"/>
        </w:pBdr>
        <w:spacing w:after="160" w:line="256" w:lineRule="auto"/>
        <w:rPr>
          <w:rFonts w:ascii="Roboto" w:eastAsia="Roboto" w:hAnsi="Roboto" w:cs="Roboto"/>
          <w:color w:val="1155CC"/>
          <w:sz w:val="21"/>
          <w:szCs w:val="21"/>
          <w:highlight w:val="white"/>
        </w:rPr>
      </w:pPr>
      <w:r>
        <w:rPr>
          <w:rFonts w:ascii="Calibri" w:eastAsia="Calibri" w:hAnsi="Calibri" w:cs="Calibri"/>
          <w:sz w:val="24"/>
          <w:szCs w:val="24"/>
        </w:rPr>
        <w:t xml:space="preserve">African Alliance and Africa CDC’s African Vaccine Delivery Alliance - Tian Johnson, </w:t>
      </w:r>
      <w:hyperlink r:id="rId37">
        <w:r>
          <w:rPr>
            <w:rFonts w:ascii="Roboto" w:eastAsia="Roboto" w:hAnsi="Roboto" w:cs="Roboto"/>
            <w:color w:val="1155CC"/>
            <w:sz w:val="21"/>
            <w:szCs w:val="21"/>
            <w:highlight w:val="white"/>
            <w:u w:val="single"/>
          </w:rPr>
          <w:t>tian@africanalliance.org.za</w:t>
        </w:r>
      </w:hyperlink>
      <w:r>
        <w:rPr>
          <w:rFonts w:ascii="Roboto" w:eastAsia="Roboto" w:hAnsi="Roboto" w:cs="Roboto"/>
          <w:color w:val="1155CC"/>
          <w:sz w:val="21"/>
          <w:szCs w:val="21"/>
          <w:highlight w:val="white"/>
        </w:rPr>
        <w:t xml:space="preserve"> </w:t>
      </w:r>
    </w:p>
    <w:sectPr w:rsidR="0079327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47E"/>
    <w:multiLevelType w:val="multilevel"/>
    <w:tmpl w:val="1FC2A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F6146F"/>
    <w:multiLevelType w:val="multilevel"/>
    <w:tmpl w:val="36AA8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DA4113"/>
    <w:multiLevelType w:val="multilevel"/>
    <w:tmpl w:val="50680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5281113">
    <w:abstractNumId w:val="2"/>
  </w:num>
  <w:num w:numId="2" w16cid:durableId="1308820976">
    <w:abstractNumId w:val="1"/>
  </w:num>
  <w:num w:numId="3" w16cid:durableId="719936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274"/>
    <w:rsid w:val="005B7DC7"/>
    <w:rsid w:val="00793274"/>
    <w:rsid w:val="00BF6D9F"/>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ecimalSymbol w:val="."/>
  <w:listSeparator w:val=","/>
  <w14:docId w14:val="319AEC31"/>
  <w15:docId w15:val="{27ABE99C-8E0F-2D45-A109-653F5B21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els.org.ar/web/" TargetMode="External"/><Relationship Id="rId18" Type="http://schemas.openxmlformats.org/officeDocument/2006/relationships/hyperlink" Target="https://minorityrights.org/" TargetMode="External"/><Relationship Id="rId26" Type="http://schemas.openxmlformats.org/officeDocument/2006/relationships/hyperlink" Target="https://movementlawlab.org/global" TargetMode="External"/><Relationship Id="rId39" Type="http://schemas.openxmlformats.org/officeDocument/2006/relationships/theme" Target="theme/theme1.xml"/><Relationship Id="rId21" Type="http://schemas.openxmlformats.org/officeDocument/2006/relationships/hyperlink" Target="https://www.oxfam.org/en" TargetMode="External"/><Relationship Id="rId34" Type="http://schemas.openxmlformats.org/officeDocument/2006/relationships/hyperlink" Target="https://tbinternet.ohchr.org/Treaties/CERD/Shared%20Documents/1_Global/INT_CERD_SWA_9548_E.pdf" TargetMode="External"/><Relationship Id="rId7" Type="http://schemas.openxmlformats.org/officeDocument/2006/relationships/hyperlink" Target="https://drive.google.com/file/d/1tUqmuTpUJS08PH_v_PoscAFx7JE6F59D/view?ts=62619c8b" TargetMode="External"/><Relationship Id="rId12" Type="http://schemas.openxmlformats.org/officeDocument/2006/relationships/hyperlink" Target="https://www.cesr.org/" TargetMode="External"/><Relationship Id="rId17" Type="http://schemas.openxmlformats.org/officeDocument/2006/relationships/hyperlink" Target="https://www.iser-uganda.org/" TargetMode="External"/><Relationship Id="rId25" Type="http://schemas.openxmlformats.org/officeDocument/2006/relationships/hyperlink" Target="https://wlce.co.za/" TargetMode="External"/><Relationship Id="rId33" Type="http://schemas.openxmlformats.org/officeDocument/2006/relationships/hyperlink" Target="https://www.escr-net.or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ser-uganda.org/" TargetMode="External"/><Relationship Id="rId20" Type="http://schemas.openxmlformats.org/officeDocument/2006/relationships/hyperlink" Target="https://www.oxfam.org/en" TargetMode="External"/><Relationship Id="rId29" Type="http://schemas.openxmlformats.org/officeDocument/2006/relationships/hyperlink" Target="https://movementlawlab.org/global" TargetMode="External"/><Relationship Id="rId1" Type="http://schemas.openxmlformats.org/officeDocument/2006/relationships/numbering" Target="numbering.xml"/><Relationship Id="rId6" Type="http://schemas.openxmlformats.org/officeDocument/2006/relationships/hyperlink" Target="https://drive.google.com/file/d/1tUqmuTpUJS08PH_v_PoscAFx7JE6F59D/view?ts=62619c8b" TargetMode="External"/><Relationship Id="rId11" Type="http://schemas.openxmlformats.org/officeDocument/2006/relationships/hyperlink" Target="https://www.cesr.org/" TargetMode="External"/><Relationship Id="rId24" Type="http://schemas.openxmlformats.org/officeDocument/2006/relationships/hyperlink" Target="https://wlce.co.za/" TargetMode="External"/><Relationship Id="rId32" Type="http://schemas.openxmlformats.org/officeDocument/2006/relationships/hyperlink" Target="https://www.escr-net.org/" TargetMode="External"/><Relationship Id="rId37" Type="http://schemas.openxmlformats.org/officeDocument/2006/relationships/hyperlink" Target="mailto:tian@africanalliance.org.za" TargetMode="External"/><Relationship Id="rId5" Type="http://schemas.openxmlformats.org/officeDocument/2006/relationships/hyperlink" Target="https://tbinternet.ohchr.org/Treaties/CERD/Shared%20Documents/1_Global/INT_CERD_SWA_9548_E.pdf" TargetMode="External"/><Relationship Id="rId15" Type="http://schemas.openxmlformats.org/officeDocument/2006/relationships/hyperlink" Target="http://www.equalhealth.org/campaign-against-racism" TargetMode="External"/><Relationship Id="rId23" Type="http://schemas.openxmlformats.org/officeDocument/2006/relationships/hyperlink" Target="https://www.tac.org.za/" TargetMode="External"/><Relationship Id="rId28" Type="http://schemas.openxmlformats.org/officeDocument/2006/relationships/hyperlink" Target="https://movementlawlab.org/global" TargetMode="External"/><Relationship Id="rId36" Type="http://schemas.openxmlformats.org/officeDocument/2006/relationships/hyperlink" Target="https://www.openglobalrights.org/vaccine-inequity-deepens-structural-racial-discrimination/?lang=English" TargetMode="External"/><Relationship Id="rId10" Type="http://schemas.openxmlformats.org/officeDocument/2006/relationships/hyperlink" Target="https://africanalliance.org.za/home/" TargetMode="External"/><Relationship Id="rId19" Type="http://schemas.openxmlformats.org/officeDocument/2006/relationships/hyperlink" Target="https://minorityrights.org/" TargetMode="External"/><Relationship Id="rId31" Type="http://schemas.openxmlformats.org/officeDocument/2006/relationships/hyperlink" Target="https://section27.org.za/" TargetMode="External"/><Relationship Id="rId4" Type="http://schemas.openxmlformats.org/officeDocument/2006/relationships/webSettings" Target="webSettings.xml"/><Relationship Id="rId9" Type="http://schemas.openxmlformats.org/officeDocument/2006/relationships/hyperlink" Target="https://africanalliance.org.za/home/" TargetMode="External"/><Relationship Id="rId14" Type="http://schemas.openxmlformats.org/officeDocument/2006/relationships/hyperlink" Target="https://www.cels.org.ar/web/" TargetMode="External"/><Relationship Id="rId22" Type="http://schemas.openxmlformats.org/officeDocument/2006/relationships/hyperlink" Target="https://www.tac.org.za/" TargetMode="External"/><Relationship Id="rId27" Type="http://schemas.openxmlformats.org/officeDocument/2006/relationships/hyperlink" Target="https://movementlawlab.org/global" TargetMode="External"/><Relationship Id="rId30" Type="http://schemas.openxmlformats.org/officeDocument/2006/relationships/hyperlink" Target="https://section27.org.za/" TargetMode="External"/><Relationship Id="rId35" Type="http://schemas.openxmlformats.org/officeDocument/2006/relationships/hyperlink" Target="https://movementlawlab.org/covid-healthcare-equity" TargetMode="External"/><Relationship Id="rId8" Type="http://schemas.openxmlformats.org/officeDocument/2006/relationships/hyperlink" Target="mailto:camilabrtmaia@gmail.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Matendawafa</cp:lastModifiedBy>
  <cp:revision>3</cp:revision>
  <dcterms:created xsi:type="dcterms:W3CDTF">2022-04-29T16:09:00Z</dcterms:created>
  <dcterms:modified xsi:type="dcterms:W3CDTF">2022-04-29T16:13:00Z</dcterms:modified>
</cp:coreProperties>
</file>